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1E676">
      <w:pPr>
        <w:jc w:val="center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中北一小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学生</w:t>
      </w:r>
      <w:r>
        <w:rPr>
          <w:rFonts w:hint="eastAsia" w:ascii="宋体" w:hAnsi="宋体" w:eastAsia="宋体"/>
          <w:sz w:val="32"/>
          <w:szCs w:val="32"/>
        </w:rPr>
        <w:t>校服明标识查验管理制度</w:t>
      </w:r>
    </w:p>
    <w:p w14:paraId="50C8D6CD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一、总则</w:t>
      </w:r>
    </w:p>
    <w:p w14:paraId="08D9513D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为严格落实校服采购验收规范化管理，从源头把控校服产品质量，杜绝标识不全、标识虚假、三无产品入校，切实保障学生着装安全、规范校园校服管理秩序，执行现行国家标准：GB 18401-2010《国家纺织产品基本安全技术规范》B类、GB31701-2015《婴幼儿及儿童纺织产品安全技术规范》B类、GB/T 31888-2015《中小学生校服》及上级校服采购专项整治工作要求，结合我校实际，制定本校服明标识查验管理制度。本制度适用于我校所有品类学生校服（夏装、春秋装、冬装、冲锋衣、制式外套等）到货验收、标识核查、入库审核、发放管理等全部工作环节，为校服入校第一道硬性验收关口。</w:t>
      </w:r>
    </w:p>
    <w:p w14:paraId="058DEECF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二、明标识定义与核查范围</w:t>
      </w:r>
    </w:p>
    <w:p w14:paraId="2E98535B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本制度所称校服明标识查验，是指学校在校服到货接收验收环节，对校服本体水洗标、永久性标签、吊牌、专属校标等信息进行逐项核查，确保校服标识齐全、真实、规范、牢固、可追溯。</w:t>
      </w:r>
    </w:p>
    <w:p w14:paraId="5A361ECD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学校必查</w:t>
      </w:r>
      <w:bookmarkStart w:id="0" w:name="OLE_LINK1"/>
      <w:r>
        <w:rPr>
          <w:rFonts w:hint="eastAsia" w:ascii="宋体" w:hAnsi="宋体" w:eastAsia="宋体"/>
          <w:sz w:val="28"/>
          <w:szCs w:val="28"/>
        </w:rPr>
        <w:t>五大标识内容，缺一不可：</w:t>
      </w:r>
    </w:p>
    <w:p w14:paraId="20DF9153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1. 生产企业名称标识：核查校服吊牌、水洗标是否标注完整生产企业名称、生产地址、联系方式，杜绝无厂名、无厂址、无来源的三无产品。</w:t>
      </w:r>
    </w:p>
    <w:p w14:paraId="3EA378E8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 面辅料成分标识：明确标注面料、里料、填充物的材质成分及含量比例，标注真实准确，与送检报告、国标参数保持一致。</w:t>
      </w:r>
    </w:p>
    <w:p w14:paraId="7128076D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 洗涤标识：具备完整、清晰的洗涤、晾晒、熨烫、禁止操作、安全类别等保养说明，标识牢固耐洗，符合国家纺织品标识规范。</w:t>
      </w:r>
    </w:p>
    <w:p w14:paraId="6A4CB55C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4. 规格型号标识：清晰标注校服尺码、型号、执行标准、安全技术类别，型号与采购清单、实物批次完全匹配。</w:t>
      </w:r>
    </w:p>
    <w:p w14:paraId="0B8647DE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5. 校名标标识：校徽、校名标识缝制规范、位置统一、做工工整，无错标、漏标、歪标、私自更改标识等情况。</w:t>
      </w:r>
    </w:p>
    <w:bookmarkEnd w:id="0"/>
    <w:p w14:paraId="76B245AE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三、查验流程规范</w:t>
      </w:r>
    </w:p>
    <w:p w14:paraId="0E2C724A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1. 校服到货后，由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学校校服采购小组</w:t>
      </w:r>
      <w:r>
        <w:rPr>
          <w:rFonts w:hint="eastAsia" w:ascii="宋体" w:hAnsi="宋体" w:eastAsia="宋体"/>
          <w:sz w:val="28"/>
          <w:szCs w:val="28"/>
        </w:rPr>
        <w:t>先查标识、后查质量、再送检，标识验收不合格不进入下一环节。</w:t>
      </w:r>
    </w:p>
    <w:p w14:paraId="7D5F75D6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 采取批量抽查+重点核验方式，覆盖所有款式、所有尺码，现场查看、逐项核对。</w:t>
      </w:r>
    </w:p>
    <w:p w14:paraId="5DCF1214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 做好《校服明标识查验登记台账》，记录查验时间、批次、查验结果、问题情况、经办人。</w:t>
      </w:r>
    </w:p>
    <w:p w14:paraId="41EA5D55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四、问题处置机制</w:t>
      </w:r>
    </w:p>
    <w:p w14:paraId="6905374B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1. 发现标识缺失、标识模糊、信息不全、标注虚假的，当场判定验收不合格。</w:t>
      </w:r>
    </w:p>
    <w:p w14:paraId="5E77A174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 单批次校服标识合格率不达标的，整批暂缓入库、暂缓发放。</w:t>
      </w:r>
    </w:p>
    <w:p w14:paraId="1382CFC4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 责令供应商限期整改、重新缝制合规标识或返厂重做，整改验收合格后方可接收；拒不整改或多次不达标的，予以退货，并纳入供应商不良记录及黑名单。</w:t>
      </w:r>
    </w:p>
    <w:p w14:paraId="0EF066E2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五、责任管理</w:t>
      </w:r>
    </w:p>
    <w:p w14:paraId="37A9DF85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1. 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综合保障部</w:t>
      </w:r>
      <w:r>
        <w:rPr>
          <w:rFonts w:hint="eastAsia" w:ascii="宋体" w:hAnsi="宋体" w:eastAsia="宋体"/>
          <w:sz w:val="28"/>
          <w:szCs w:val="28"/>
        </w:rPr>
        <w:t>为校服明标识查验工作责任部门，负责日常验收、核查、台账留存。</w:t>
      </w:r>
    </w:p>
    <w:p w14:paraId="5297903D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 学校校服采购小组全程监督，杜绝走过场、流于形式。</w:t>
      </w:r>
    </w:p>
    <w:p w14:paraId="632DF1C2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 严禁任何人放行标识不规范校服入校、入库、发放，对履职不严、把关不严人员严肃追责。</w:t>
      </w:r>
    </w:p>
    <w:p w14:paraId="4D7751C9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六、附则</w:t>
      </w:r>
    </w:p>
    <w:p w14:paraId="75895E10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本制度自发布之日起执行，由学校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综合保障部</w:t>
      </w:r>
      <w:r>
        <w:rPr>
          <w:rFonts w:hint="eastAsia" w:ascii="宋体" w:hAnsi="宋体" w:eastAsia="宋体"/>
          <w:sz w:val="28"/>
          <w:szCs w:val="28"/>
        </w:rPr>
        <w:t>负责解释，上级如有新规定，从其规定执行。</w:t>
      </w:r>
      <w:bookmarkStart w:id="1" w:name="_GoBack"/>
      <w:bookmarkEnd w:id="1"/>
    </w:p>
    <w:p w14:paraId="7C182015">
      <w:pPr>
        <w:rPr>
          <w:rFonts w:ascii="宋体" w:hAnsi="宋体" w:eastAsia="宋体"/>
          <w:sz w:val="28"/>
          <w:szCs w:val="28"/>
        </w:rPr>
      </w:pPr>
    </w:p>
    <w:p w14:paraId="74024F28">
      <w:pPr>
        <w:rPr>
          <w:rFonts w:ascii="宋体" w:hAnsi="宋体" w:eastAsia="宋体"/>
          <w:sz w:val="28"/>
          <w:szCs w:val="28"/>
        </w:rPr>
      </w:pPr>
    </w:p>
    <w:p w14:paraId="2804DE0A">
      <w:pPr>
        <w:rPr>
          <w:rFonts w:hint="eastAsia" w:ascii="宋体" w:hAnsi="宋体" w:eastAsia="宋体"/>
          <w:sz w:val="28"/>
          <w:szCs w:val="28"/>
        </w:rPr>
      </w:pPr>
    </w:p>
    <w:p w14:paraId="0D71EE22">
      <w:pPr>
        <w:ind w:firstLine="3640" w:firstLineChars="13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上海市普陀区中山北路第一小学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9E"/>
    <w:rsid w:val="0033379E"/>
    <w:rsid w:val="00816C1A"/>
    <w:rsid w:val="00822876"/>
    <w:rsid w:val="00825B77"/>
    <w:rsid w:val="00A91D77"/>
    <w:rsid w:val="00FB5B45"/>
    <w:rsid w:val="06297D55"/>
    <w:rsid w:val="25F34750"/>
    <w:rsid w:val="7A06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1109</Words>
  <Characters>1156</Characters>
  <Lines>8</Lines>
  <Paragraphs>2</Paragraphs>
  <TotalTime>11</TotalTime>
  <ScaleCrop>false</ScaleCrop>
  <LinksUpToDate>false</LinksUpToDate>
  <CharactersWithSpaces>1172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2026-06-11T04:00:00Z</dcterms:created>
  <dc:creator>admin</dc:creator>
  <cp:lastModifiedBy>admin</cp:lastModifiedBy>
  <cp:lastPrinted>2026-06-11T04:30:15Z</cp:lastPrinted>
  <dcterms:modified xsi:type="dcterms:W3CDTF">2026-06-11T04:34:56Z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eyJoZGlkIjoiNDg0OTE1NDYxZDUwMDA5MTg5NTExMWZlNzBiZDM0ZjIifQ==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E71558E6F9464FD284F71BA0283C2BE8_12</vt:lpwstr>
  </property>
</Properties>
</file>